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3AFC" w14:textId="08E6CF32" w:rsidR="00F526EF" w:rsidRDefault="00F526EF" w:rsidP="00F526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>
        <w:rPr>
          <w:rFonts w:ascii="Arial Narrow" w:hAnsi="Arial Narrow"/>
          <w:bCs/>
          <w:sz w:val="20"/>
          <w:szCs w:val="20"/>
        </w:rPr>
        <w:t>6</w:t>
      </w:r>
      <w:r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740B9CD" w14:textId="77777777" w:rsidR="00F526EF" w:rsidRDefault="00F526EF" w:rsidP="00F526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IR.271.1.2024</w:t>
      </w:r>
    </w:p>
    <w:p w14:paraId="6924C8CF" w14:textId="77777777" w:rsidR="00F526EF" w:rsidRDefault="00F526EF" w:rsidP="00F526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 stycznia 2024r.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3E847040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35304E8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AE5387" w:rsidRPr="00AE5387">
        <w:rPr>
          <w:rFonts w:ascii="Arial Narrow" w:hAnsi="Arial Narrow" w:cs="Arial"/>
        </w:rPr>
        <w:t>Sporządzanie projektów decyzji o warunkach zabudowy, zagospodarowania przestrzennego terenu oraz opinii urbanistycznych dla obszaru gminy Przecław w 202</w:t>
      </w:r>
      <w:r w:rsidR="00E50D77">
        <w:rPr>
          <w:rFonts w:ascii="Arial Narrow" w:hAnsi="Arial Narrow" w:cs="Arial"/>
        </w:rPr>
        <w:t>4</w:t>
      </w:r>
      <w:r w:rsidR="00AE5387" w:rsidRPr="00AE5387">
        <w:rPr>
          <w:rFonts w:ascii="Arial Narrow" w:hAnsi="Arial Narrow" w:cs="Arial"/>
        </w:rPr>
        <w:t>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602A031D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512F" w14:textId="77777777" w:rsidR="007B05E6" w:rsidRDefault="007B05E6" w:rsidP="0038231F">
      <w:pPr>
        <w:spacing w:after="0" w:line="240" w:lineRule="auto"/>
      </w:pPr>
      <w:r>
        <w:separator/>
      </w:r>
    </w:p>
  </w:endnote>
  <w:endnote w:type="continuationSeparator" w:id="0">
    <w:p w14:paraId="06CED9B8" w14:textId="77777777" w:rsidR="007B05E6" w:rsidRDefault="007B0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F7F6" w14:textId="77777777" w:rsidR="007B05E6" w:rsidRDefault="007B05E6" w:rsidP="0038231F">
      <w:pPr>
        <w:spacing w:after="0" w:line="240" w:lineRule="auto"/>
      </w:pPr>
      <w:r>
        <w:separator/>
      </w:r>
    </w:p>
  </w:footnote>
  <w:footnote w:type="continuationSeparator" w:id="0">
    <w:p w14:paraId="24F9C1E8" w14:textId="77777777" w:rsidR="007B05E6" w:rsidRDefault="007B05E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4585F13C" w:rsidR="00720CC8" w:rsidRDefault="00AE5387" w:rsidP="00B9088D">
          <w:pPr>
            <w:pStyle w:val="Nagwek"/>
            <w:spacing w:line="276" w:lineRule="auto"/>
            <w:jc w:val="center"/>
          </w:pPr>
          <w:r w:rsidRPr="00AE5387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</w:t>
          </w:r>
          <w:r w:rsidR="00E50D77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AE5387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8891">
    <w:abstractNumId w:val="8"/>
  </w:num>
  <w:num w:numId="2" w16cid:durableId="1513715097">
    <w:abstractNumId w:val="1"/>
  </w:num>
  <w:num w:numId="3" w16cid:durableId="1059329677">
    <w:abstractNumId w:val="6"/>
  </w:num>
  <w:num w:numId="4" w16cid:durableId="1184513928">
    <w:abstractNumId w:val="11"/>
  </w:num>
  <w:num w:numId="5" w16cid:durableId="773549060">
    <w:abstractNumId w:val="9"/>
  </w:num>
  <w:num w:numId="6" w16cid:durableId="898324864">
    <w:abstractNumId w:val="5"/>
  </w:num>
  <w:num w:numId="7" w16cid:durableId="1805731139">
    <w:abstractNumId w:val="2"/>
  </w:num>
  <w:num w:numId="8" w16cid:durableId="247159687">
    <w:abstractNumId w:val="10"/>
  </w:num>
  <w:num w:numId="9" w16cid:durableId="1672834547">
    <w:abstractNumId w:val="0"/>
  </w:num>
  <w:num w:numId="10" w16cid:durableId="556476794">
    <w:abstractNumId w:val="4"/>
  </w:num>
  <w:num w:numId="11" w16cid:durableId="1793860075">
    <w:abstractNumId w:val="3"/>
  </w:num>
  <w:num w:numId="12" w16cid:durableId="1851139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A19B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5E6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538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1CB4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50D77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6EF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7868-6503-4EEA-8B76-83B1589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13</cp:revision>
  <cp:lastPrinted>2022-06-14T09:16:00Z</cp:lastPrinted>
  <dcterms:created xsi:type="dcterms:W3CDTF">2022-05-30T07:54:00Z</dcterms:created>
  <dcterms:modified xsi:type="dcterms:W3CDTF">2024-01-02T07:11:00Z</dcterms:modified>
</cp:coreProperties>
</file>